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7E6CC" w14:textId="3599362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1D4589">
        <w:t>2</w:t>
      </w:r>
      <w:r w:rsidR="00F20F5C">
        <w:t>e</w:t>
      </w:r>
      <w:r w:rsidRPr="00CE0424">
        <w:tab/>
      </w:r>
      <w:r w:rsidRPr="00CE0424">
        <w:rPr>
          <w:sz w:val="32"/>
          <w:szCs w:val="32"/>
        </w:rPr>
        <w:t xml:space="preserve">Tdoc </w:t>
      </w:r>
      <w:r w:rsidR="00614B0A" w:rsidRPr="00614B0A">
        <w:rPr>
          <w:sz w:val="32"/>
          <w:szCs w:val="32"/>
        </w:rPr>
        <w:t>R2-2010516</w:t>
      </w:r>
    </w:p>
    <w:p w14:paraId="198E0CFC"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7994D019" w14:textId="77777777" w:rsidR="00E90E49" w:rsidRPr="00CE0424" w:rsidRDefault="00E90E49" w:rsidP="00357380">
      <w:pPr>
        <w:pStyle w:val="3GPPHeader"/>
      </w:pPr>
    </w:p>
    <w:p w14:paraId="5D0043E5" w14:textId="299820C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D6A74" w:rsidRPr="008D6A74">
        <w:rPr>
          <w:sz w:val="22"/>
          <w:szCs w:val="22"/>
        </w:rPr>
        <w:t>6.15</w:t>
      </w:r>
    </w:p>
    <w:p w14:paraId="6E3988E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46B2AE" w14:textId="3064CB3A" w:rsidR="00E90E49" w:rsidRPr="00CE0424" w:rsidRDefault="003D3C45" w:rsidP="00311702">
      <w:pPr>
        <w:pStyle w:val="3GPPHeader"/>
        <w:rPr>
          <w:sz w:val="22"/>
          <w:szCs w:val="22"/>
        </w:rPr>
      </w:pPr>
      <w:r>
        <w:rPr>
          <w:sz w:val="22"/>
          <w:szCs w:val="22"/>
        </w:rPr>
        <w:t>Title:</w:t>
      </w:r>
      <w:r w:rsidR="00E90E49" w:rsidRPr="00CE0424">
        <w:rPr>
          <w:sz w:val="22"/>
          <w:szCs w:val="22"/>
        </w:rPr>
        <w:tab/>
      </w:r>
      <w:r w:rsidR="000D6F59">
        <w:rPr>
          <w:sz w:val="22"/>
          <w:szCs w:val="22"/>
        </w:rPr>
        <w:t>MPE for EN-DC</w:t>
      </w:r>
      <w:r w:rsidR="00D35427">
        <w:rPr>
          <w:sz w:val="22"/>
          <w:szCs w:val="22"/>
        </w:rPr>
        <w:t>,</w:t>
      </w:r>
      <w:r w:rsidR="000D6F59">
        <w:rPr>
          <w:sz w:val="22"/>
          <w:szCs w:val="22"/>
        </w:rPr>
        <w:t xml:space="preserve"> NE-DC</w:t>
      </w:r>
      <w:r w:rsidR="00D35427">
        <w:rPr>
          <w:sz w:val="22"/>
          <w:szCs w:val="22"/>
        </w:rPr>
        <w:t>,</w:t>
      </w:r>
      <w:r w:rsidR="00E54F65">
        <w:rPr>
          <w:sz w:val="22"/>
          <w:szCs w:val="22"/>
        </w:rPr>
        <w:t xml:space="preserve"> NR-DC</w:t>
      </w:r>
      <w:r w:rsidR="00D35427">
        <w:rPr>
          <w:sz w:val="22"/>
          <w:szCs w:val="22"/>
        </w:rPr>
        <w:t xml:space="preserve"> and DAPS</w:t>
      </w:r>
    </w:p>
    <w:p w14:paraId="26ED9827" w14:textId="3C0126CA" w:rsidR="00E90E49" w:rsidRPr="0049009C" w:rsidRDefault="00E90E49" w:rsidP="0049009C">
      <w:pPr>
        <w:pStyle w:val="3GPPHeader"/>
        <w:rPr>
          <w:sz w:val="22"/>
          <w:szCs w:val="22"/>
        </w:rPr>
      </w:pPr>
      <w:r w:rsidRPr="006F71BC">
        <w:rPr>
          <w:sz w:val="22"/>
          <w:szCs w:val="22"/>
        </w:rPr>
        <w:t>Document for:</w:t>
      </w:r>
      <w:r w:rsidRPr="006F71BC">
        <w:rPr>
          <w:sz w:val="22"/>
          <w:szCs w:val="22"/>
        </w:rPr>
        <w:tab/>
        <w:t>Discussion, Decision</w:t>
      </w:r>
    </w:p>
    <w:p w14:paraId="03F2E8F6" w14:textId="77777777" w:rsidR="00E90E49" w:rsidRPr="00CE0424" w:rsidRDefault="00230D18" w:rsidP="00CE0424">
      <w:pPr>
        <w:pStyle w:val="Heading1"/>
      </w:pPr>
      <w:r>
        <w:t>1</w:t>
      </w:r>
      <w:r>
        <w:tab/>
      </w:r>
      <w:r w:rsidR="00E90E49" w:rsidRPr="00CE0424">
        <w:t>Introduction</w:t>
      </w:r>
    </w:p>
    <w:p w14:paraId="18DFE236" w14:textId="6A63A390" w:rsidR="00477768" w:rsidRDefault="009A2ED0" w:rsidP="00CE0424">
      <w:pPr>
        <w:pStyle w:val="BodyText"/>
      </w:pPr>
      <w:r>
        <w:t>RAN2 added MPE reporting in the previous meeting. It is added to the PHR MAC CE. MPE reporting is only applicable for FR2 cells.</w:t>
      </w:r>
    </w:p>
    <w:p w14:paraId="0B86B723" w14:textId="27EEF19A" w:rsidR="00C64C83" w:rsidRDefault="00C64C83" w:rsidP="00CE0424">
      <w:pPr>
        <w:pStyle w:val="BodyText"/>
      </w:pPr>
      <w:r>
        <w:t xml:space="preserve">It is unclear to which node </w:t>
      </w:r>
      <w:r w:rsidR="000D6F59">
        <w:t xml:space="preserve">and </w:t>
      </w:r>
      <w:r>
        <w:t>for which cells MPE reporting is supported in DC</w:t>
      </w:r>
      <w:r w:rsidR="00D35427">
        <w:t xml:space="preserve"> and in DAPS</w:t>
      </w:r>
      <w:r>
        <w:t>. We propose how to clarify this.</w:t>
      </w:r>
    </w:p>
    <w:p w14:paraId="5FF5F7F9" w14:textId="0DAA6E89" w:rsidR="004000E8" w:rsidRDefault="00230D18" w:rsidP="00CE0424">
      <w:pPr>
        <w:pStyle w:val="Heading1"/>
      </w:pPr>
      <w:bookmarkStart w:id="1" w:name="_Ref178064866"/>
      <w:r>
        <w:t>2</w:t>
      </w:r>
      <w:r>
        <w:tab/>
      </w:r>
      <w:r w:rsidR="004000E8" w:rsidRPr="00CE0424">
        <w:t>Discussion</w:t>
      </w:r>
      <w:bookmarkEnd w:id="1"/>
    </w:p>
    <w:p w14:paraId="7053FDEA" w14:textId="4C81E27B" w:rsidR="009A2ED0" w:rsidRDefault="009A2ED0" w:rsidP="009A2ED0">
      <w:pPr>
        <w:pStyle w:val="BodyText"/>
      </w:pPr>
      <w:r>
        <w:t>RAN2 added MPE reporting in RAN2#111-e. MPE is reported in the PHR MAC CE. The Multi Entry PHR MAC CE can report for the "other" MAC entity in case of Dual Connectivity. In our understanding MPE reporting hence works in Dual Connectivity, as specified in current specifications. For example, the MPE indications for FR2 cells in the SCG can be reported to the MN.</w:t>
      </w:r>
    </w:p>
    <w:p w14:paraId="2DDA612D" w14:textId="39C4B74F" w:rsidR="00E54F65" w:rsidRDefault="00E54F65" w:rsidP="00E54F65">
      <w:pPr>
        <w:pStyle w:val="Heading2"/>
      </w:pPr>
      <w:r>
        <w:t>2.1</w:t>
      </w:r>
      <w:r>
        <w:tab/>
        <w:t>EN-DC</w:t>
      </w:r>
    </w:p>
    <w:p w14:paraId="240A58C9" w14:textId="161D8978" w:rsidR="00C64C83" w:rsidRDefault="009A2ED0" w:rsidP="009A2ED0">
      <w:pPr>
        <w:pStyle w:val="BodyText"/>
      </w:pPr>
      <w:r>
        <w:t xml:space="preserve">In EN-DC, the UE uses the LTE PHR MAC CE to report power headroom to the MN, even for SCG-cells. However, RAN2 did not add MPE reporting possibilities in the Dual Connectivity PHR MAC CE in LTE specs. </w:t>
      </w:r>
      <w:r w:rsidR="000D6F59">
        <w:t>Hence,</w:t>
      </w:r>
      <w:r>
        <w:t xml:space="preserve"> we</w:t>
      </w:r>
      <w:r w:rsidR="000D6F59">
        <w:t xml:space="preserve"> conclude</w:t>
      </w:r>
      <w:r>
        <w:t xml:space="preserve"> that MPE reporting for SCG-cells to the MN is </w:t>
      </w:r>
      <w:r w:rsidRPr="000D6F59">
        <w:rPr>
          <w:b/>
          <w:bCs/>
        </w:rPr>
        <w:t>not</w:t>
      </w:r>
      <w:r>
        <w:t xml:space="preserve"> supported. If it should be supported, RAN2 would have to update the Dual Connectivity PHR MAC CE in LTE so that MPE reporting can be supported also there.</w:t>
      </w:r>
      <w:r w:rsidR="000D6F59">
        <w:t xml:space="preserve"> </w:t>
      </w:r>
      <w:r>
        <w:t>We do not think that should be supported</w:t>
      </w:r>
      <w:r w:rsidR="000D6F59">
        <w:t>, though</w:t>
      </w:r>
      <w:r>
        <w:t>.</w:t>
      </w:r>
      <w:r w:rsidR="000D6F59">
        <w:t xml:space="preserve"> </w:t>
      </w:r>
      <w:r>
        <w:t xml:space="preserve">At least RAN2 has not received any request to support </w:t>
      </w:r>
      <w:r w:rsidR="000D6F59">
        <w:t>MPE reporting for NR FR2 cells to the eNB in EN-DC</w:t>
      </w:r>
      <w:r>
        <w:t>.</w:t>
      </w:r>
      <w:r w:rsidR="00C64C83">
        <w:t xml:space="preserve"> It is worth confirming this:</w:t>
      </w:r>
    </w:p>
    <w:p w14:paraId="2F9BC532" w14:textId="3783F1EA" w:rsidR="00C64C83" w:rsidRDefault="00C64C83" w:rsidP="00C64C83">
      <w:pPr>
        <w:pStyle w:val="Proposal"/>
      </w:pPr>
      <w:bookmarkStart w:id="2" w:name="_Toc54270339"/>
      <w:r>
        <w:t xml:space="preserve">RAN2 confirms that MPE </w:t>
      </w:r>
      <w:r w:rsidRPr="00A17DB8">
        <w:t>reporting for SCG-cells to the MN is not supported</w:t>
      </w:r>
      <w:r>
        <w:t xml:space="preserve"> in EN-DC.</w:t>
      </w:r>
      <w:bookmarkEnd w:id="2"/>
    </w:p>
    <w:p w14:paraId="10ABB2B7" w14:textId="45C74ACC" w:rsidR="00C64C83" w:rsidRDefault="009A2ED0" w:rsidP="00C64C83">
      <w:pPr>
        <w:pStyle w:val="BodyText"/>
      </w:pPr>
      <w:r>
        <w:t xml:space="preserve"> </w:t>
      </w:r>
    </w:p>
    <w:p w14:paraId="382CC5B3" w14:textId="011915B0" w:rsidR="00C64C83" w:rsidRDefault="003745D1" w:rsidP="00C64C83">
      <w:pPr>
        <w:pStyle w:val="BodyText"/>
      </w:pPr>
      <w:r>
        <w:t>T</w:t>
      </w:r>
      <w:r w:rsidR="005471B2">
        <w:t xml:space="preserve">wo </w:t>
      </w:r>
      <w:r w:rsidR="000D6F59">
        <w:t>options</w:t>
      </w:r>
      <w:r>
        <w:t xml:space="preserve"> to achieve this</w:t>
      </w:r>
      <w:r w:rsidR="00C64C83">
        <w:t>:</w:t>
      </w:r>
    </w:p>
    <w:p w14:paraId="4CECE00D" w14:textId="77777777" w:rsidR="003745D1" w:rsidRDefault="003745D1" w:rsidP="008D6A74">
      <w:pPr>
        <w:pStyle w:val="BodyText"/>
        <w:ind w:left="567"/>
      </w:pPr>
    </w:p>
    <w:p w14:paraId="0579BF5F" w14:textId="6D812202" w:rsidR="003745D1" w:rsidRDefault="003745D1" w:rsidP="008D6A74">
      <w:pPr>
        <w:pStyle w:val="BodyText"/>
        <w:ind w:left="567"/>
        <w:rPr>
          <w:b/>
          <w:bCs/>
        </w:rPr>
      </w:pPr>
      <w:r w:rsidRPr="003745D1">
        <w:rPr>
          <w:b/>
          <w:bCs/>
        </w:rPr>
        <w:t xml:space="preserve">Option 1: Disallow the combination of </w:t>
      </w:r>
      <w:r w:rsidR="00C64C83" w:rsidRPr="003745D1">
        <w:rPr>
          <w:b/>
          <w:bCs/>
        </w:rPr>
        <w:t>MPE</w:t>
      </w:r>
      <w:r w:rsidRPr="003745D1">
        <w:rPr>
          <w:b/>
          <w:bCs/>
        </w:rPr>
        <w:t xml:space="preserve"> and</w:t>
      </w:r>
      <w:r w:rsidR="00C64C83" w:rsidRPr="003745D1">
        <w:rPr>
          <w:b/>
          <w:bCs/>
        </w:rPr>
        <w:t xml:space="preserve"> EN-DC</w:t>
      </w:r>
    </w:p>
    <w:p w14:paraId="6CEB1C00" w14:textId="09B2B90E" w:rsidR="003745D1" w:rsidRPr="003745D1" w:rsidRDefault="003745D1" w:rsidP="008D6A74">
      <w:pPr>
        <w:pStyle w:val="BodyText"/>
        <w:ind w:firstLine="567"/>
      </w:pPr>
      <w:r w:rsidRPr="003745D1">
        <w:t xml:space="preserve">Here, </w:t>
      </w:r>
      <w:r>
        <w:t xml:space="preserve">the network should not configure MPE when EN-DC is configured. </w:t>
      </w:r>
    </w:p>
    <w:p w14:paraId="55E08A6B" w14:textId="13FA6422" w:rsidR="005471B2" w:rsidRPr="0023223A" w:rsidRDefault="003745D1" w:rsidP="008D6A74">
      <w:pPr>
        <w:pStyle w:val="BodyText"/>
        <w:ind w:left="567"/>
        <w:rPr>
          <w:b/>
          <w:bCs/>
        </w:rPr>
      </w:pPr>
      <w:r>
        <w:rPr>
          <w:b/>
          <w:bCs/>
        </w:rPr>
        <w:t xml:space="preserve">Option 2: </w:t>
      </w:r>
      <w:r w:rsidR="005471B2" w:rsidRPr="0023223A">
        <w:rPr>
          <w:b/>
          <w:bCs/>
        </w:rPr>
        <w:t xml:space="preserve">Allow </w:t>
      </w:r>
      <w:r>
        <w:rPr>
          <w:b/>
          <w:bCs/>
        </w:rPr>
        <w:t>the combination of MPE and EN-DC</w:t>
      </w:r>
      <w:r w:rsidR="005471B2" w:rsidRPr="0023223A">
        <w:rPr>
          <w:b/>
          <w:bCs/>
        </w:rPr>
        <w:t>, but UE only reports MPE for SCG-cells to the SN</w:t>
      </w:r>
      <w:r w:rsidR="000D6F59">
        <w:rPr>
          <w:b/>
          <w:bCs/>
        </w:rPr>
        <w:t xml:space="preserve"> (not to the MN)</w:t>
      </w:r>
      <w:r w:rsidR="005471B2" w:rsidRPr="0023223A">
        <w:rPr>
          <w:b/>
          <w:bCs/>
        </w:rPr>
        <w:t>.</w:t>
      </w:r>
    </w:p>
    <w:p w14:paraId="243AC314" w14:textId="6083E1EE" w:rsidR="003745D1" w:rsidRDefault="003745D1" w:rsidP="008D6A74">
      <w:pPr>
        <w:pStyle w:val="BodyText"/>
        <w:ind w:left="567"/>
      </w:pPr>
      <w:r w:rsidRPr="003745D1">
        <w:t xml:space="preserve">Here, </w:t>
      </w:r>
      <w:r>
        <w:t xml:space="preserve">the network can configure MPE when EN-DC is configured, but the UE ignores the configuration for the MN. </w:t>
      </w:r>
    </w:p>
    <w:p w14:paraId="7756A26A" w14:textId="17200407" w:rsidR="005471B2" w:rsidRDefault="003745D1" w:rsidP="005471B2">
      <w:pPr>
        <w:pStyle w:val="BodyText"/>
      </w:pPr>
      <w:r>
        <w:t xml:space="preserve">Option 1 </w:t>
      </w:r>
      <w:r w:rsidR="005471B2">
        <w:t>seems unnecessarily restrictive. An SN in EN-DC may want to configure FR2-cells for the UE and to forbid that MPE is reported to the SN for those cells seems not justified.</w:t>
      </w:r>
      <w:r>
        <w:t xml:space="preserve"> Instead</w:t>
      </w:r>
      <w:r w:rsidR="005471B2">
        <w:t xml:space="preserve"> option</w:t>
      </w:r>
      <w:r>
        <w:t xml:space="preserve"> 2</w:t>
      </w:r>
      <w:r w:rsidR="005471B2">
        <w:t xml:space="preserve"> would instead allow the SN to </w:t>
      </w:r>
      <w:r w:rsidR="005471B2" w:rsidRPr="003745D1">
        <w:t>configure and use MPE for the UE</w:t>
      </w:r>
      <w:r w:rsidR="000D6F59" w:rsidRPr="003745D1">
        <w:t>, but MPE would only be reported for the FR2-cells in the SN to the SN</w:t>
      </w:r>
      <w:r w:rsidR="005471B2" w:rsidRPr="003745D1">
        <w:t>.</w:t>
      </w:r>
    </w:p>
    <w:p w14:paraId="38007DCE" w14:textId="77777777" w:rsidR="0023223A" w:rsidRDefault="0023223A" w:rsidP="00C64C83">
      <w:pPr>
        <w:pStyle w:val="BodyText"/>
      </w:pPr>
    </w:p>
    <w:p w14:paraId="14AAB95C" w14:textId="44078E6F" w:rsidR="00C64C83" w:rsidRDefault="005471B2" w:rsidP="00C64C83">
      <w:pPr>
        <w:pStyle w:val="BodyText"/>
      </w:pPr>
      <w:r>
        <w:t>We propose option 2</w:t>
      </w:r>
      <w:r w:rsidR="000D6F59">
        <w:t xml:space="preserve"> </w:t>
      </w:r>
      <w:r w:rsidR="003745D1">
        <w:t>to</w:t>
      </w:r>
      <w:r w:rsidR="000D6F59">
        <w:t xml:space="preserve"> avoid the, in our view, unnecessary restriction</w:t>
      </w:r>
      <w:r>
        <w:t>:</w:t>
      </w:r>
    </w:p>
    <w:p w14:paraId="319485BF" w14:textId="3C11F85E" w:rsidR="00C64C83" w:rsidRDefault="00C64C83" w:rsidP="00C64C83">
      <w:pPr>
        <w:pStyle w:val="Proposal"/>
      </w:pPr>
      <w:bookmarkStart w:id="3" w:name="_Toc54270340"/>
      <w:r>
        <w:t xml:space="preserve">MPE reporting </w:t>
      </w:r>
      <w:r w:rsidR="0023223A">
        <w:t xml:space="preserve">is supported for EN-DC, but UE only reports MPE for the SCG </w:t>
      </w:r>
      <w:r w:rsidR="000D6F59">
        <w:t>FR2-</w:t>
      </w:r>
      <w:r w:rsidR="0023223A">
        <w:t>cells towards the SN (not the MN)</w:t>
      </w:r>
      <w:r>
        <w:t>.</w:t>
      </w:r>
      <w:bookmarkEnd w:id="3"/>
    </w:p>
    <w:p w14:paraId="2D0E8BE9" w14:textId="3A61B144" w:rsidR="0023223A" w:rsidRDefault="0023223A" w:rsidP="00C64C83">
      <w:pPr>
        <w:pStyle w:val="BodyText"/>
      </w:pPr>
    </w:p>
    <w:p w14:paraId="3B526F9E" w14:textId="3E7F5EAC" w:rsidR="003745D1" w:rsidRDefault="003745D1" w:rsidP="003745D1">
      <w:pPr>
        <w:pStyle w:val="Heading2"/>
      </w:pPr>
      <w:r>
        <w:t>2.</w:t>
      </w:r>
      <w:r w:rsidR="00D35427">
        <w:t>2</w:t>
      </w:r>
      <w:r>
        <w:tab/>
        <w:t>NE-DC</w:t>
      </w:r>
    </w:p>
    <w:p w14:paraId="6816FD74" w14:textId="3E14B66A" w:rsidR="00C64C83" w:rsidRDefault="005471B2" w:rsidP="00C64C83">
      <w:pPr>
        <w:pStyle w:val="BodyText"/>
      </w:pPr>
      <w:r>
        <w:t xml:space="preserve">Assuming we should do the same for </w:t>
      </w:r>
      <w:r w:rsidR="00C64C83">
        <w:t>NE-DC</w:t>
      </w:r>
      <w:r w:rsidR="003745D1">
        <w:t xml:space="preserve"> as we do for EN-DC</w:t>
      </w:r>
      <w:r w:rsidR="00C64C83">
        <w:t xml:space="preserve">, </w:t>
      </w:r>
      <w:r>
        <w:t>we propose</w:t>
      </w:r>
      <w:r w:rsidR="00C64C83">
        <w:t>:</w:t>
      </w:r>
    </w:p>
    <w:p w14:paraId="08510929" w14:textId="6137EAE9" w:rsidR="00C64C83" w:rsidRDefault="00C64C83" w:rsidP="00C64C83">
      <w:pPr>
        <w:pStyle w:val="Proposal"/>
      </w:pPr>
      <w:bookmarkStart w:id="4" w:name="_Toc54270341"/>
      <w:r>
        <w:t xml:space="preserve">RAN2 confirms that MPE </w:t>
      </w:r>
      <w:r w:rsidRPr="00A17DB8">
        <w:t>reporting for MCG-cells to the SN is</w:t>
      </w:r>
      <w:r>
        <w:t xml:space="preserve"> not supported in NE-DC.</w:t>
      </w:r>
      <w:bookmarkEnd w:id="4"/>
    </w:p>
    <w:p w14:paraId="79737F12" w14:textId="1AE1F1AA" w:rsidR="00C64C83" w:rsidRDefault="00C64C83" w:rsidP="00C64C83">
      <w:pPr>
        <w:pStyle w:val="Proposal"/>
      </w:pPr>
      <w:bookmarkStart w:id="5" w:name="_Toc54270342"/>
      <w:r>
        <w:t xml:space="preserve">MPE reporting to </w:t>
      </w:r>
      <w:r w:rsidR="00FA0730">
        <w:t xml:space="preserve">is supported for NE-DC, but UE only reports MPE for the MN FR2-cells towards the </w:t>
      </w:r>
      <w:r>
        <w:t xml:space="preserve">MN </w:t>
      </w:r>
      <w:r w:rsidR="00FA0730">
        <w:t>(not the SN)</w:t>
      </w:r>
      <w:r>
        <w:t>.</w:t>
      </w:r>
      <w:bookmarkEnd w:id="5"/>
    </w:p>
    <w:p w14:paraId="6DCD0C81" w14:textId="77777777" w:rsidR="003745D1" w:rsidRDefault="003745D1" w:rsidP="00C64C83">
      <w:pPr>
        <w:pStyle w:val="BodyText"/>
      </w:pPr>
    </w:p>
    <w:p w14:paraId="5635899B" w14:textId="06145D85" w:rsidR="00E54F65" w:rsidRDefault="00E54F65" w:rsidP="00E54F65">
      <w:pPr>
        <w:pStyle w:val="Heading2"/>
      </w:pPr>
      <w:r>
        <w:t>2.</w:t>
      </w:r>
      <w:r w:rsidR="00D35427">
        <w:t>3</w:t>
      </w:r>
      <w:r>
        <w:tab/>
        <w:t>NR-DC</w:t>
      </w:r>
    </w:p>
    <w:p w14:paraId="0C0E5C24" w14:textId="77777777" w:rsidR="0068695D" w:rsidRDefault="00E54F65" w:rsidP="00E54F65">
      <w:pPr>
        <w:rPr>
          <w:rFonts w:ascii="Arial" w:hAnsi="Arial"/>
          <w:lang w:eastAsia="zh-CN"/>
        </w:rPr>
      </w:pPr>
      <w:r w:rsidRPr="00E54F65">
        <w:rPr>
          <w:rFonts w:ascii="Arial" w:hAnsi="Arial"/>
          <w:lang w:eastAsia="zh-CN"/>
        </w:rPr>
        <w:t xml:space="preserve">In </w:t>
      </w:r>
      <w:r>
        <w:rPr>
          <w:rFonts w:ascii="Arial" w:hAnsi="Arial"/>
          <w:lang w:eastAsia="zh-CN"/>
        </w:rPr>
        <w:t xml:space="preserve">NR-DC the UE is connected to two NR-nodes and hence uses NR MAC entities for both nodes. </w:t>
      </w:r>
      <w:r w:rsidR="0068695D">
        <w:rPr>
          <w:rFonts w:ascii="Arial" w:hAnsi="Arial"/>
          <w:lang w:eastAsia="zh-CN"/>
        </w:rPr>
        <w:t xml:space="preserve">The UE can then report </w:t>
      </w:r>
      <w:r>
        <w:rPr>
          <w:rFonts w:ascii="Arial" w:hAnsi="Arial"/>
          <w:lang w:eastAsia="zh-CN"/>
        </w:rPr>
        <w:t>MPE to both MN and SN</w:t>
      </w:r>
      <w:r w:rsidR="0068695D">
        <w:rPr>
          <w:rFonts w:ascii="Arial" w:hAnsi="Arial"/>
          <w:lang w:eastAsia="zh-CN"/>
        </w:rPr>
        <w:t xml:space="preserve"> in NR-DC (which is not possible in EN-DC or NE-DC)</w:t>
      </w:r>
      <w:r>
        <w:rPr>
          <w:rFonts w:ascii="Arial" w:hAnsi="Arial"/>
          <w:lang w:eastAsia="zh-CN"/>
        </w:rPr>
        <w:t>.</w:t>
      </w:r>
    </w:p>
    <w:p w14:paraId="513F72F4" w14:textId="1637D7C9" w:rsidR="00E54F65" w:rsidRDefault="00E54F65" w:rsidP="00E54F65">
      <w:pPr>
        <w:rPr>
          <w:rFonts w:ascii="Arial" w:hAnsi="Arial"/>
          <w:lang w:eastAsia="zh-CN"/>
        </w:rPr>
      </w:pPr>
      <w:r>
        <w:rPr>
          <w:rFonts w:ascii="Arial" w:hAnsi="Arial"/>
          <w:lang w:eastAsia="zh-CN"/>
        </w:rPr>
        <w:t>Something which is not clear from the specification yet is</w:t>
      </w:r>
      <w:r w:rsidR="0068695D">
        <w:rPr>
          <w:rFonts w:ascii="Arial" w:hAnsi="Arial"/>
          <w:lang w:eastAsia="zh-CN"/>
        </w:rPr>
        <w:t>:</w:t>
      </w:r>
      <w:r>
        <w:rPr>
          <w:rFonts w:ascii="Arial" w:hAnsi="Arial"/>
          <w:lang w:eastAsia="zh-CN"/>
        </w:rPr>
        <w:t xml:space="preserve"> what the UE shall do if </w:t>
      </w:r>
      <w:r w:rsidR="0068695D">
        <w:rPr>
          <w:rFonts w:ascii="Arial" w:hAnsi="Arial"/>
          <w:lang w:eastAsia="zh-CN"/>
        </w:rPr>
        <w:t xml:space="preserve">the </w:t>
      </w:r>
      <w:r>
        <w:rPr>
          <w:rFonts w:ascii="Arial" w:hAnsi="Arial"/>
          <w:lang w:eastAsia="zh-CN"/>
        </w:rPr>
        <w:t>MN configures MPE reporting but the SN does not</w:t>
      </w:r>
      <w:r w:rsidR="0068695D">
        <w:rPr>
          <w:rFonts w:ascii="Arial" w:hAnsi="Arial"/>
          <w:lang w:eastAsia="zh-CN"/>
        </w:rPr>
        <w:t>?</w:t>
      </w:r>
    </w:p>
    <w:p w14:paraId="775DF2AA" w14:textId="550C32CF" w:rsidR="0068695D" w:rsidRDefault="0068695D" w:rsidP="00E54F65">
      <w:pPr>
        <w:rPr>
          <w:rFonts w:ascii="Arial" w:hAnsi="Arial"/>
          <w:lang w:eastAsia="zh-CN"/>
        </w:rPr>
      </w:pPr>
      <w:r>
        <w:rPr>
          <w:rFonts w:ascii="Arial" w:hAnsi="Arial"/>
          <w:lang w:eastAsia="zh-CN"/>
        </w:rPr>
        <w:t>Let's consider the example below with 2 MN cells and 3 SN cells.</w:t>
      </w:r>
    </w:p>
    <w:p w14:paraId="7A81BDF8" w14:textId="077969A6" w:rsidR="0068695D" w:rsidRDefault="0068695D" w:rsidP="0068695D">
      <w:pPr>
        <w:jc w:val="center"/>
        <w:rPr>
          <w:rFonts w:ascii="Arial" w:hAnsi="Arial"/>
          <w:lang w:eastAsia="zh-CN"/>
        </w:rPr>
      </w:pPr>
      <w:r>
        <w:rPr>
          <w:rFonts w:ascii="Arial" w:hAnsi="Arial"/>
          <w:noProof/>
          <w:lang w:eastAsia="zh-CN"/>
        </w:rPr>
        <w:drawing>
          <wp:inline distT="0" distB="0" distL="0" distR="0" wp14:anchorId="64093C3E" wp14:editId="0B2E3A26">
            <wp:extent cx="4444365" cy="1134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4365" cy="1134110"/>
                    </a:xfrm>
                    <a:prstGeom prst="rect">
                      <a:avLst/>
                    </a:prstGeom>
                    <a:noFill/>
                  </pic:spPr>
                </pic:pic>
              </a:graphicData>
            </a:graphic>
          </wp:inline>
        </w:drawing>
      </w:r>
    </w:p>
    <w:p w14:paraId="033C13AD" w14:textId="77777777" w:rsidR="00E54F65" w:rsidRDefault="00E54F65" w:rsidP="00E54F65">
      <w:pPr>
        <w:rPr>
          <w:rFonts w:ascii="Arial" w:hAnsi="Arial"/>
          <w:lang w:eastAsia="zh-CN"/>
        </w:rPr>
      </w:pPr>
    </w:p>
    <w:p w14:paraId="5AAA0BBB" w14:textId="4E899A61" w:rsidR="00E54F65" w:rsidRDefault="00FB2252" w:rsidP="00E54F65">
      <w:pPr>
        <w:rPr>
          <w:rFonts w:ascii="Arial" w:hAnsi="Arial"/>
          <w:lang w:eastAsia="zh-CN"/>
        </w:rPr>
      </w:pPr>
      <w:r>
        <w:rPr>
          <w:rFonts w:ascii="Arial" w:hAnsi="Arial"/>
          <w:lang w:eastAsia="zh-CN"/>
        </w:rPr>
        <w:t>Three</w:t>
      </w:r>
      <w:r w:rsidR="00E54F65">
        <w:rPr>
          <w:rFonts w:ascii="Arial" w:hAnsi="Arial"/>
          <w:lang w:eastAsia="zh-CN"/>
        </w:rPr>
        <w:t xml:space="preserve"> </w:t>
      </w:r>
      <w:r w:rsidR="0068695D">
        <w:rPr>
          <w:rFonts w:ascii="Arial" w:hAnsi="Arial"/>
          <w:lang w:eastAsia="zh-CN"/>
        </w:rPr>
        <w:t>options</w:t>
      </w:r>
      <w:r w:rsidR="00E54F65">
        <w:rPr>
          <w:rFonts w:ascii="Arial" w:hAnsi="Arial"/>
          <w:lang w:eastAsia="zh-CN"/>
        </w:rPr>
        <w:t>:</w:t>
      </w:r>
    </w:p>
    <w:p w14:paraId="1E58091E" w14:textId="2C49A28B" w:rsidR="00E54F65" w:rsidRPr="0068695D" w:rsidRDefault="00E54F65" w:rsidP="008D6A74">
      <w:pPr>
        <w:ind w:left="567"/>
        <w:rPr>
          <w:rFonts w:ascii="Arial" w:hAnsi="Arial"/>
          <w:b/>
          <w:bCs/>
          <w:lang w:eastAsia="zh-CN"/>
        </w:rPr>
      </w:pPr>
      <w:r w:rsidRPr="0068695D">
        <w:rPr>
          <w:rFonts w:ascii="Arial" w:hAnsi="Arial"/>
          <w:b/>
          <w:bCs/>
          <w:lang w:eastAsia="zh-CN"/>
        </w:rPr>
        <w:t>Option 1: MPE report</w:t>
      </w:r>
      <w:r w:rsidR="004432B8">
        <w:rPr>
          <w:rFonts w:ascii="Arial" w:hAnsi="Arial"/>
          <w:b/>
          <w:bCs/>
          <w:lang w:eastAsia="zh-CN"/>
        </w:rPr>
        <w:t xml:space="preserve"> </w:t>
      </w:r>
      <w:r w:rsidRPr="0068695D">
        <w:rPr>
          <w:rFonts w:ascii="Arial" w:hAnsi="Arial"/>
          <w:b/>
          <w:bCs/>
          <w:lang w:eastAsia="zh-CN"/>
        </w:rPr>
        <w:t>config</w:t>
      </w:r>
      <w:r w:rsidR="004432B8">
        <w:rPr>
          <w:rFonts w:ascii="Arial" w:hAnsi="Arial"/>
          <w:b/>
          <w:bCs/>
          <w:lang w:eastAsia="zh-CN"/>
        </w:rPr>
        <w:t xml:space="preserve"> says </w:t>
      </w:r>
      <w:r w:rsidR="004432B8" w:rsidRPr="004432B8">
        <w:rPr>
          <w:rFonts w:ascii="Arial" w:hAnsi="Arial"/>
          <w:b/>
          <w:bCs/>
          <w:u w:val="single"/>
          <w:lang w:eastAsia="zh-CN"/>
        </w:rPr>
        <w:t>where</w:t>
      </w:r>
      <w:r w:rsidR="004432B8">
        <w:rPr>
          <w:rFonts w:ascii="Arial" w:hAnsi="Arial"/>
          <w:b/>
          <w:bCs/>
          <w:lang w:eastAsia="zh-CN"/>
        </w:rPr>
        <w:t xml:space="preserve"> the UE shall report MPE</w:t>
      </w:r>
    </w:p>
    <w:p w14:paraId="382E04E7" w14:textId="7712B037" w:rsidR="004432B8" w:rsidRDefault="0068695D" w:rsidP="008D6A74">
      <w:pPr>
        <w:ind w:left="567"/>
        <w:rPr>
          <w:rFonts w:ascii="Arial" w:hAnsi="Arial"/>
          <w:lang w:eastAsia="zh-CN"/>
        </w:rPr>
      </w:pPr>
      <w:r>
        <w:rPr>
          <w:rFonts w:ascii="Arial" w:hAnsi="Arial"/>
          <w:lang w:eastAsia="zh-CN"/>
        </w:rPr>
        <w:t xml:space="preserve">Here, if </w:t>
      </w:r>
      <w:r w:rsidR="00E54F65">
        <w:rPr>
          <w:rFonts w:ascii="Arial" w:hAnsi="Arial"/>
          <w:lang w:eastAsia="zh-CN"/>
        </w:rPr>
        <w:t>the MN configures MPE reporting for a UE, the UE report</w:t>
      </w:r>
      <w:r>
        <w:rPr>
          <w:rFonts w:ascii="Arial" w:hAnsi="Arial"/>
          <w:lang w:eastAsia="zh-CN"/>
        </w:rPr>
        <w:t>s</w:t>
      </w:r>
      <w:r w:rsidR="00E54F65">
        <w:rPr>
          <w:rFonts w:ascii="Arial" w:hAnsi="Arial"/>
          <w:lang w:eastAsia="zh-CN"/>
        </w:rPr>
        <w:t xml:space="preserve"> MPE </w:t>
      </w:r>
      <w:r w:rsidR="00E54F65" w:rsidRPr="0068695D">
        <w:rPr>
          <w:rFonts w:ascii="Arial" w:hAnsi="Arial"/>
          <w:lang w:eastAsia="zh-CN"/>
        </w:rPr>
        <w:t xml:space="preserve">for all cells </w:t>
      </w:r>
      <w:r w:rsidRPr="0068695D">
        <w:rPr>
          <w:rFonts w:ascii="Arial" w:hAnsi="Arial"/>
          <w:lang w:eastAsia="zh-CN"/>
        </w:rPr>
        <w:t>when</w:t>
      </w:r>
      <w:r>
        <w:rPr>
          <w:rFonts w:ascii="Arial" w:hAnsi="Arial"/>
          <w:lang w:eastAsia="zh-CN"/>
        </w:rPr>
        <w:t xml:space="preserve"> reporting to the </w:t>
      </w:r>
      <w:r w:rsidR="00E54F65">
        <w:rPr>
          <w:rFonts w:ascii="Arial" w:hAnsi="Arial"/>
          <w:lang w:eastAsia="zh-CN"/>
        </w:rPr>
        <w:t xml:space="preserve">MN, i.e. </w:t>
      </w:r>
      <w:r>
        <w:rPr>
          <w:rFonts w:ascii="Arial" w:hAnsi="Arial"/>
          <w:lang w:eastAsia="zh-CN"/>
        </w:rPr>
        <w:t>for all cells (A, B, C, D and E)</w:t>
      </w:r>
      <w:r w:rsidR="00E54F65">
        <w:rPr>
          <w:rFonts w:ascii="Arial" w:hAnsi="Arial"/>
          <w:lang w:eastAsia="zh-CN"/>
        </w:rPr>
        <w:t>.</w:t>
      </w:r>
      <w:r>
        <w:rPr>
          <w:rFonts w:ascii="Arial" w:hAnsi="Arial"/>
          <w:lang w:eastAsia="zh-CN"/>
        </w:rPr>
        <w:t xml:space="preserve"> But since the SN has not configured MPE-reporting, the UE will not report any MPE indications to the SN.</w:t>
      </w:r>
      <w:r w:rsidR="004432B8">
        <w:rPr>
          <w:rFonts w:ascii="Arial" w:hAnsi="Arial"/>
          <w:lang w:eastAsia="zh-CN"/>
        </w:rPr>
        <w:t xml:space="preserve"> </w:t>
      </w:r>
    </w:p>
    <w:p w14:paraId="5187B9EE" w14:textId="69D48D13" w:rsidR="00E54F65" w:rsidRPr="0068695D" w:rsidRDefault="00E54F65" w:rsidP="008D6A74">
      <w:pPr>
        <w:ind w:left="567"/>
        <w:rPr>
          <w:rFonts w:ascii="Arial" w:hAnsi="Arial"/>
          <w:b/>
          <w:bCs/>
          <w:lang w:eastAsia="zh-CN"/>
        </w:rPr>
      </w:pPr>
      <w:r w:rsidRPr="0068695D">
        <w:rPr>
          <w:rFonts w:ascii="Arial" w:hAnsi="Arial"/>
          <w:b/>
          <w:bCs/>
          <w:lang w:eastAsia="zh-CN"/>
        </w:rPr>
        <w:t>Option 2: MPE report</w:t>
      </w:r>
      <w:r w:rsidR="004432B8">
        <w:rPr>
          <w:rFonts w:ascii="Arial" w:hAnsi="Arial"/>
          <w:b/>
          <w:bCs/>
          <w:lang w:eastAsia="zh-CN"/>
        </w:rPr>
        <w:t xml:space="preserve"> config says </w:t>
      </w:r>
      <w:r w:rsidR="004432B8" w:rsidRPr="004432B8">
        <w:rPr>
          <w:rFonts w:ascii="Arial" w:hAnsi="Arial"/>
          <w:b/>
          <w:bCs/>
          <w:u w:val="single"/>
          <w:lang w:eastAsia="zh-CN"/>
        </w:rPr>
        <w:t>which cells</w:t>
      </w:r>
      <w:r w:rsidR="004432B8">
        <w:rPr>
          <w:rFonts w:ascii="Arial" w:hAnsi="Arial"/>
          <w:b/>
          <w:bCs/>
          <w:lang w:eastAsia="zh-CN"/>
        </w:rPr>
        <w:t xml:space="preserve"> MPE should be reported</w:t>
      </w:r>
    </w:p>
    <w:p w14:paraId="0F727C61" w14:textId="17D4B071" w:rsidR="00FB2252" w:rsidRDefault="0068695D" w:rsidP="008D6A74">
      <w:pPr>
        <w:ind w:left="567"/>
        <w:rPr>
          <w:rFonts w:ascii="Arial" w:hAnsi="Arial"/>
          <w:lang w:eastAsia="zh-CN"/>
        </w:rPr>
      </w:pPr>
      <w:r>
        <w:rPr>
          <w:rFonts w:ascii="Arial" w:hAnsi="Arial"/>
          <w:lang w:eastAsia="zh-CN"/>
        </w:rPr>
        <w:t xml:space="preserve">Here, </w:t>
      </w:r>
      <w:r w:rsidR="00E54F65">
        <w:rPr>
          <w:rFonts w:ascii="Arial" w:hAnsi="Arial"/>
          <w:lang w:eastAsia="zh-CN"/>
        </w:rPr>
        <w:t>if the MN configures MPE reporting for a UE, the UE report</w:t>
      </w:r>
      <w:r>
        <w:rPr>
          <w:rFonts w:ascii="Arial" w:hAnsi="Arial"/>
          <w:lang w:eastAsia="zh-CN"/>
        </w:rPr>
        <w:t>s</w:t>
      </w:r>
      <w:r w:rsidR="00E54F65">
        <w:rPr>
          <w:rFonts w:ascii="Arial" w:hAnsi="Arial"/>
          <w:lang w:eastAsia="zh-CN"/>
        </w:rPr>
        <w:t xml:space="preserve"> MPE for </w:t>
      </w:r>
      <w:r w:rsidRPr="0068695D">
        <w:rPr>
          <w:rFonts w:ascii="Arial" w:hAnsi="Arial"/>
          <w:lang w:eastAsia="zh-CN"/>
        </w:rPr>
        <w:t>the</w:t>
      </w:r>
      <w:r w:rsidR="00E54F65" w:rsidRPr="0068695D">
        <w:rPr>
          <w:rFonts w:ascii="Arial" w:hAnsi="Arial"/>
          <w:lang w:eastAsia="zh-CN"/>
        </w:rPr>
        <w:t xml:space="preserve"> MN cells</w:t>
      </w:r>
      <w:r w:rsidR="00E54F65">
        <w:rPr>
          <w:rFonts w:ascii="Arial" w:hAnsi="Arial"/>
          <w:lang w:eastAsia="zh-CN"/>
        </w:rPr>
        <w:t xml:space="preserve">, i.e. </w:t>
      </w:r>
      <w:r>
        <w:rPr>
          <w:rFonts w:ascii="Arial" w:hAnsi="Arial"/>
          <w:lang w:eastAsia="zh-CN"/>
        </w:rPr>
        <w:t>for cells A and B</w:t>
      </w:r>
      <w:r w:rsidR="00E54F65">
        <w:rPr>
          <w:rFonts w:ascii="Arial" w:hAnsi="Arial"/>
          <w:lang w:eastAsia="zh-CN"/>
        </w:rPr>
        <w:t>.</w:t>
      </w:r>
      <w:r>
        <w:rPr>
          <w:rFonts w:ascii="Arial" w:hAnsi="Arial"/>
          <w:lang w:eastAsia="zh-CN"/>
        </w:rPr>
        <w:t xml:space="preserve"> The UE reports this (i.e. for A and B) to both MN and for SN.</w:t>
      </w:r>
      <w:r w:rsidR="004432B8">
        <w:rPr>
          <w:rFonts w:ascii="Arial" w:hAnsi="Arial"/>
          <w:lang w:eastAsia="zh-CN"/>
        </w:rPr>
        <w:t xml:space="preserve"> </w:t>
      </w:r>
    </w:p>
    <w:p w14:paraId="251CCF8A" w14:textId="1E577FEE" w:rsidR="00FB2252" w:rsidRPr="00FB2252" w:rsidRDefault="00FB2252" w:rsidP="008D6A74">
      <w:pPr>
        <w:ind w:left="567"/>
        <w:rPr>
          <w:rFonts w:ascii="Arial" w:hAnsi="Arial"/>
          <w:b/>
          <w:bCs/>
          <w:lang w:eastAsia="zh-CN"/>
        </w:rPr>
      </w:pPr>
      <w:r w:rsidRPr="00FB2252">
        <w:rPr>
          <w:rFonts w:ascii="Arial" w:hAnsi="Arial"/>
          <w:b/>
          <w:bCs/>
          <w:lang w:eastAsia="zh-CN"/>
        </w:rPr>
        <w:t xml:space="preserve">Option 3: </w:t>
      </w:r>
      <w:r>
        <w:rPr>
          <w:rFonts w:ascii="Arial" w:hAnsi="Arial"/>
          <w:b/>
          <w:bCs/>
          <w:lang w:eastAsia="zh-CN"/>
        </w:rPr>
        <w:t>Cross reporting disabled</w:t>
      </w:r>
    </w:p>
    <w:p w14:paraId="011B671B" w14:textId="410FF9C3" w:rsidR="00FB2252" w:rsidRDefault="00FB2252" w:rsidP="008D6A74">
      <w:pPr>
        <w:ind w:left="567"/>
        <w:rPr>
          <w:rFonts w:ascii="Arial" w:hAnsi="Arial"/>
          <w:lang w:eastAsia="zh-CN"/>
        </w:rPr>
      </w:pPr>
      <w:r>
        <w:rPr>
          <w:rFonts w:ascii="Arial" w:hAnsi="Arial"/>
          <w:lang w:eastAsia="zh-CN"/>
        </w:rPr>
        <w:t>Here, if the MN configures MPE reporting for a UE, the UE reports MPE only for the MN cells and only when reporting to the MN. Cross-reporting is disabled.</w:t>
      </w:r>
      <w:r w:rsidR="00D35427" w:rsidDel="00D35427">
        <w:rPr>
          <w:rFonts w:ascii="Arial" w:hAnsi="Arial"/>
          <w:lang w:eastAsia="zh-CN"/>
        </w:rPr>
        <w:t xml:space="preserve"> </w:t>
      </w:r>
    </w:p>
    <w:p w14:paraId="5D3F6CA2" w14:textId="5C2FC8F4" w:rsidR="0068695D" w:rsidRDefault="0068695D" w:rsidP="00E54F65">
      <w:pPr>
        <w:rPr>
          <w:rFonts w:ascii="Arial" w:hAnsi="Arial"/>
          <w:lang w:eastAsia="zh-CN"/>
        </w:rPr>
      </w:pPr>
      <w:r>
        <w:rPr>
          <w:rFonts w:ascii="Arial" w:hAnsi="Arial"/>
          <w:lang w:eastAsia="zh-CN"/>
        </w:rPr>
        <w:t xml:space="preserve">Since the MN should be in control of what the UE shall report towards to the MN, and SN shall control what the UE reports to the SN, </w:t>
      </w:r>
      <w:r w:rsidR="00FB2252">
        <w:rPr>
          <w:rFonts w:ascii="Arial" w:hAnsi="Arial"/>
          <w:lang w:eastAsia="zh-CN"/>
        </w:rPr>
        <w:t>we think option 2 can be discarded directly</w:t>
      </w:r>
      <w:r>
        <w:rPr>
          <w:rFonts w:ascii="Arial" w:hAnsi="Arial"/>
          <w:lang w:eastAsia="zh-CN"/>
        </w:rPr>
        <w:t>.</w:t>
      </w:r>
      <w:r w:rsidR="00FB2252">
        <w:rPr>
          <w:rFonts w:ascii="Arial" w:hAnsi="Arial"/>
          <w:lang w:eastAsia="zh-CN"/>
        </w:rPr>
        <w:t xml:space="preserve"> Between option 1 and option 3, we think both works. However, recalling that the P-bit (similar to the MPE report in some ways) is indeed cross-reported, we believe that RAN2 should </w:t>
      </w:r>
      <w:r w:rsidR="00FB2252" w:rsidRPr="00FB2252">
        <w:rPr>
          <w:rFonts w:ascii="Arial" w:hAnsi="Arial"/>
          <w:b/>
          <w:bCs/>
          <w:lang w:eastAsia="zh-CN"/>
        </w:rPr>
        <w:t>adopt option 1</w:t>
      </w:r>
      <w:r w:rsidR="00FB2252">
        <w:rPr>
          <w:rFonts w:ascii="Arial" w:hAnsi="Arial"/>
          <w:lang w:eastAsia="zh-CN"/>
        </w:rPr>
        <w:t>:</w:t>
      </w:r>
    </w:p>
    <w:p w14:paraId="0D829B00" w14:textId="5545B070" w:rsidR="00FB2252" w:rsidRDefault="003745D1" w:rsidP="00FB2252">
      <w:pPr>
        <w:pStyle w:val="Proposal"/>
      </w:pPr>
      <w:bookmarkStart w:id="6" w:name="_Toc54270343"/>
      <w:r>
        <w:lastRenderedPageBreak/>
        <w:t>In NR-DC, i</w:t>
      </w:r>
      <w:r w:rsidR="00FB2252">
        <w:t>f MPE is configured for a MAC entity, that MAC entity shall report MPE for all serving cells (also the cells of the other MAC entity).</w:t>
      </w:r>
      <w:bookmarkEnd w:id="6"/>
    </w:p>
    <w:p w14:paraId="576D5546" w14:textId="7E03BD04" w:rsidR="0068695D" w:rsidRDefault="0068695D" w:rsidP="00E54F65">
      <w:pPr>
        <w:rPr>
          <w:rFonts w:ascii="Arial" w:hAnsi="Arial"/>
          <w:lang w:eastAsia="zh-CN"/>
        </w:rPr>
      </w:pPr>
    </w:p>
    <w:p w14:paraId="7077487F" w14:textId="69B5731A" w:rsidR="004432B8" w:rsidRDefault="004432B8" w:rsidP="004432B8">
      <w:pPr>
        <w:pStyle w:val="Heading2"/>
      </w:pPr>
      <w:r>
        <w:t>2.</w:t>
      </w:r>
      <w:r w:rsidR="00D35427">
        <w:t>4</w:t>
      </w:r>
      <w:r>
        <w:tab/>
        <w:t>DAPS</w:t>
      </w:r>
    </w:p>
    <w:p w14:paraId="2F2159A0" w14:textId="61DD9C12" w:rsidR="003745D1" w:rsidRDefault="004432B8" w:rsidP="008C704B">
      <w:pPr>
        <w:pStyle w:val="BodyText"/>
      </w:pPr>
      <w:r>
        <w:t>DAPS can only be performed between NR and NR or between LTE and LTE. During a DAPS handover the UE has a serving cell of a source and of a target, hence we have a similar situation as NR-DC</w:t>
      </w:r>
      <w:r w:rsidR="003745D1">
        <w:t xml:space="preserve"> and hence the same options to choose from. We suggest </w:t>
      </w:r>
      <w:r w:rsidR="009B18FF">
        <w:t>adopting</w:t>
      </w:r>
      <w:r w:rsidR="003745D1">
        <w:t xml:space="preserve"> the same approach for DAPS as for DC:</w:t>
      </w:r>
    </w:p>
    <w:p w14:paraId="7366F8D1" w14:textId="369EF8E3" w:rsidR="003745D1" w:rsidRDefault="003745D1" w:rsidP="008C704B">
      <w:pPr>
        <w:pStyle w:val="BodyText"/>
      </w:pPr>
    </w:p>
    <w:p w14:paraId="0BBEFE66" w14:textId="18004EF8" w:rsidR="00D35427" w:rsidRDefault="00D35427" w:rsidP="008D6A74">
      <w:pPr>
        <w:pStyle w:val="Proposal"/>
      </w:pPr>
      <w:bookmarkStart w:id="7" w:name="_Toc54270344"/>
      <w:r>
        <w:t>In DAPS,</w:t>
      </w:r>
      <w:r w:rsidRPr="00D35427">
        <w:t xml:space="preserve"> </w:t>
      </w:r>
      <w:r>
        <w:t>if MPE is configured for a MAC entity, that MAC entity shall report MPE for all serving cells (also the cell of the other MAC entity).</w:t>
      </w:r>
      <w:bookmarkEnd w:id="7"/>
    </w:p>
    <w:p w14:paraId="29BE5921" w14:textId="131903BD" w:rsidR="00E54F65" w:rsidRDefault="003745D1" w:rsidP="00D35427">
      <w:pPr>
        <w:pStyle w:val="BodyText"/>
      </w:pPr>
      <w:r>
        <w:t xml:space="preserve"> </w:t>
      </w:r>
    </w:p>
    <w:p w14:paraId="07536AA9" w14:textId="49A3C9E0" w:rsidR="00D35427" w:rsidRPr="00D35427" w:rsidRDefault="00D35427" w:rsidP="00D35427">
      <w:pPr>
        <w:pStyle w:val="Heading2"/>
      </w:pPr>
      <w:r>
        <w:t>2.5</w:t>
      </w:r>
      <w:r>
        <w:tab/>
      </w:r>
      <w:r w:rsidRPr="00D35427">
        <w:t>Text proposal</w:t>
      </w:r>
    </w:p>
    <w:p w14:paraId="262F8B92" w14:textId="4B7FDAE9" w:rsidR="00D35427" w:rsidRPr="008D6A74" w:rsidRDefault="009B18FF" w:rsidP="00D35427">
      <w:pPr>
        <w:rPr>
          <w:rFonts w:ascii="Arial" w:hAnsi="Arial"/>
          <w:lang w:eastAsia="zh-CN"/>
        </w:rPr>
      </w:pPr>
      <w:r w:rsidRPr="008D6A74">
        <w:rPr>
          <w:rFonts w:ascii="Arial" w:hAnsi="Arial"/>
          <w:lang w:eastAsia="zh-CN"/>
        </w:rPr>
        <w:t xml:space="preserve">Here is a text proposal </w:t>
      </w:r>
      <w:r w:rsidR="001A6F83">
        <w:rPr>
          <w:rFonts w:ascii="Arial" w:hAnsi="Arial"/>
          <w:lang w:eastAsia="zh-CN"/>
        </w:rPr>
        <w:t xml:space="preserve">for 38.331 to capture the </w:t>
      </w:r>
      <w:r>
        <w:rPr>
          <w:rFonts w:ascii="Arial" w:hAnsi="Arial"/>
          <w:lang w:eastAsia="zh-CN"/>
        </w:rPr>
        <w:t xml:space="preserve">proposals </w:t>
      </w:r>
      <w:r w:rsidRPr="008D6A74">
        <w:rPr>
          <w:rFonts w:ascii="Arial" w:hAnsi="Arial"/>
          <w:lang w:eastAsia="zh-CN"/>
        </w:rPr>
        <w:t>above</w:t>
      </w:r>
      <w:r>
        <w:rPr>
          <w:rFonts w:ascii="Arial" w:hAnsi="Arial"/>
          <w:lang w:eastAsia="zh-CN"/>
        </w:rPr>
        <w:t>.</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6"/>
      </w:tblGrid>
      <w:tr w:rsidR="00D35427" w:rsidRPr="00070818" w14:paraId="72916741" w14:textId="77777777" w:rsidTr="00C732F1">
        <w:tc>
          <w:tcPr>
            <w:tcW w:w="8646" w:type="dxa"/>
            <w:tcBorders>
              <w:top w:val="single" w:sz="4" w:space="0" w:color="auto"/>
              <w:left w:val="single" w:sz="4" w:space="0" w:color="auto"/>
              <w:bottom w:val="single" w:sz="4" w:space="0" w:color="auto"/>
              <w:right w:val="single" w:sz="4" w:space="0" w:color="auto"/>
            </w:tcBorders>
          </w:tcPr>
          <w:p w14:paraId="090A2008" w14:textId="77777777" w:rsidR="00D35427" w:rsidRPr="002627EB" w:rsidRDefault="00D35427" w:rsidP="00C732F1">
            <w:pPr>
              <w:keepNext/>
              <w:keepLines/>
              <w:spacing w:after="0"/>
              <w:rPr>
                <w:rFonts w:ascii="Arial" w:hAnsi="Arial"/>
                <w:sz w:val="18"/>
                <w:szCs w:val="22"/>
              </w:rPr>
            </w:pPr>
            <w:r w:rsidRPr="00070818">
              <w:rPr>
                <w:rFonts w:ascii="Arial" w:hAnsi="Arial"/>
                <w:b/>
                <w:i/>
                <w:sz w:val="18"/>
                <w:szCs w:val="22"/>
              </w:rPr>
              <w:t>mpe-</w:t>
            </w:r>
            <w:r>
              <w:rPr>
                <w:rFonts w:ascii="Arial" w:hAnsi="Arial"/>
                <w:b/>
                <w:i/>
                <w:sz w:val="18"/>
                <w:szCs w:val="22"/>
              </w:rPr>
              <w:t>Reporting-FR2</w:t>
            </w:r>
            <w:r w:rsidRPr="004E0915">
              <w:rPr>
                <w:rFonts w:ascii="Arial" w:hAnsi="Arial"/>
                <w:b/>
                <w:i/>
                <w:sz w:val="18"/>
                <w:szCs w:val="22"/>
              </w:rPr>
              <w:t>-r16</w:t>
            </w:r>
          </w:p>
          <w:p w14:paraId="647B8B07" w14:textId="77777777" w:rsidR="00D35427" w:rsidRPr="00070818" w:rsidRDefault="00D35427" w:rsidP="00C732F1">
            <w:pPr>
              <w:keepNext/>
              <w:keepLines/>
              <w:spacing w:after="0"/>
              <w:rPr>
                <w:rFonts w:ascii="Arial" w:hAnsi="Arial"/>
                <w:b/>
                <w:i/>
                <w:sz w:val="18"/>
                <w:szCs w:val="22"/>
                <w:lang w:eastAsia="sv-SE"/>
              </w:rPr>
            </w:pPr>
            <w:r>
              <w:rPr>
                <w:rFonts w:ascii="Arial" w:hAnsi="Arial"/>
                <w:sz w:val="18"/>
                <w:szCs w:val="22"/>
              </w:rPr>
              <w:t>Indicates</w:t>
            </w:r>
            <w:r w:rsidRPr="002627EB">
              <w:rPr>
                <w:rFonts w:ascii="Arial" w:hAnsi="Arial"/>
                <w:sz w:val="18"/>
                <w:szCs w:val="22"/>
              </w:rPr>
              <w:t xml:space="preserve"> </w:t>
            </w:r>
            <w:r>
              <w:rPr>
                <w:rFonts w:ascii="Arial" w:hAnsi="Arial"/>
                <w:sz w:val="18"/>
                <w:szCs w:val="22"/>
              </w:rPr>
              <w:t xml:space="preserve">whether the UE shall report MPE P-MPR in the PHR MAC control element, </w:t>
            </w:r>
            <w:r w:rsidRPr="002627EB">
              <w:rPr>
                <w:rFonts w:ascii="Arial" w:hAnsi="Arial"/>
                <w:sz w:val="18"/>
                <w:szCs w:val="22"/>
              </w:rPr>
              <w:t>as specified in TS 38.321 [3]</w:t>
            </w:r>
            <w:r>
              <w:rPr>
                <w:rFonts w:ascii="Arial" w:hAnsi="Arial"/>
                <w:sz w:val="18"/>
                <w:szCs w:val="22"/>
              </w:rPr>
              <w:t xml:space="preserve">. </w:t>
            </w:r>
            <w:r w:rsidRPr="008D6A74">
              <w:rPr>
                <w:rFonts w:ascii="Arial" w:hAnsi="Arial"/>
                <w:color w:val="FF0000"/>
                <w:sz w:val="18"/>
                <w:szCs w:val="22"/>
              </w:rPr>
              <w:t>For Dual Connectivity (EN-DC, NE-DC and NR-DC) and for DAPS, if configured for a MAC entity, this MAC entity of the UE shall report MPE P-MPR for all FR2 serving cells of the UE (i.e. including for the FR2 cells of the other MAC entity).</w:t>
            </w:r>
          </w:p>
        </w:tc>
      </w:tr>
    </w:tbl>
    <w:p w14:paraId="4F330F0A" w14:textId="77777777" w:rsidR="00D35427" w:rsidRDefault="00D35427" w:rsidP="00D35427"/>
    <w:p w14:paraId="70327B0C" w14:textId="14169D91" w:rsidR="0068695D" w:rsidRDefault="0068695D" w:rsidP="0068695D">
      <w:pPr>
        <w:pStyle w:val="Proposal"/>
      </w:pPr>
      <w:bookmarkStart w:id="8" w:name="_Toc52874366"/>
      <w:bookmarkStart w:id="9" w:name="_Toc52874367"/>
      <w:bookmarkStart w:id="10" w:name="_Toc52874368"/>
      <w:bookmarkStart w:id="11" w:name="_Toc54270345"/>
      <w:bookmarkEnd w:id="8"/>
      <w:bookmarkEnd w:id="9"/>
      <w:bookmarkEnd w:id="10"/>
      <w:r>
        <w:t>Adopt the text proposal.</w:t>
      </w:r>
      <w:bookmarkEnd w:id="11"/>
    </w:p>
    <w:p w14:paraId="5BA773FE" w14:textId="77777777" w:rsidR="0068695D" w:rsidRDefault="0068695D" w:rsidP="0068695D">
      <w:pPr>
        <w:pStyle w:val="Proposal"/>
        <w:numPr>
          <w:ilvl w:val="0"/>
          <w:numId w:val="0"/>
        </w:numPr>
        <w:ind w:left="1701" w:hanging="1701"/>
      </w:pPr>
    </w:p>
    <w:p w14:paraId="0EC7828D" w14:textId="16E80808" w:rsidR="0068695D" w:rsidRDefault="0068695D" w:rsidP="00E54F65">
      <w:pPr>
        <w:rPr>
          <w:rFonts w:ascii="Arial" w:hAnsi="Arial"/>
          <w:lang w:eastAsia="zh-CN"/>
        </w:rPr>
      </w:pPr>
    </w:p>
    <w:p w14:paraId="63F206FC" w14:textId="5A2208E9" w:rsidR="00C01F33" w:rsidRPr="00CE0424" w:rsidRDefault="006E08F4" w:rsidP="00CE0424">
      <w:pPr>
        <w:pStyle w:val="Heading1"/>
      </w:pPr>
      <w:r>
        <w:t>3</w:t>
      </w:r>
      <w:r>
        <w:tab/>
      </w:r>
      <w:r w:rsidR="00C01F33" w:rsidRPr="00CE0424">
        <w:t>Conclusion</w:t>
      </w:r>
    </w:p>
    <w:p w14:paraId="41947D0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221030" w14:textId="77777777" w:rsidR="008D6A74"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0339" w:history="1">
        <w:r w:rsidR="008D6A74" w:rsidRPr="00F259DA">
          <w:rPr>
            <w:rStyle w:val="Hyperlink"/>
            <w:noProof/>
          </w:rPr>
          <w:t>Proposal 1</w:t>
        </w:r>
        <w:r w:rsidR="008D6A74">
          <w:rPr>
            <w:rFonts w:asciiTheme="minorHAnsi" w:eastAsiaTheme="minorEastAsia" w:hAnsiTheme="minorHAnsi" w:cstheme="minorBidi"/>
            <w:b w:val="0"/>
            <w:noProof/>
            <w:sz w:val="22"/>
            <w:szCs w:val="22"/>
          </w:rPr>
          <w:tab/>
        </w:r>
        <w:r w:rsidR="008D6A74" w:rsidRPr="00F259DA">
          <w:rPr>
            <w:rStyle w:val="Hyperlink"/>
            <w:noProof/>
          </w:rPr>
          <w:t>RAN2 confirms that MPE reporting for SCG-cells to the MN is not supported in EN-DC.</w:t>
        </w:r>
      </w:hyperlink>
    </w:p>
    <w:p w14:paraId="0CD3E53F" w14:textId="77777777" w:rsidR="008D6A74" w:rsidRDefault="00614B0A">
      <w:pPr>
        <w:pStyle w:val="TableofFigures"/>
        <w:tabs>
          <w:tab w:val="right" w:leader="dot" w:pos="9629"/>
        </w:tabs>
        <w:rPr>
          <w:rFonts w:asciiTheme="minorHAnsi" w:eastAsiaTheme="minorEastAsia" w:hAnsiTheme="minorHAnsi" w:cstheme="minorBidi"/>
          <w:b w:val="0"/>
          <w:noProof/>
          <w:sz w:val="22"/>
          <w:szCs w:val="22"/>
        </w:rPr>
      </w:pPr>
      <w:hyperlink w:anchor="_Toc54270340" w:history="1">
        <w:r w:rsidR="008D6A74" w:rsidRPr="00F259DA">
          <w:rPr>
            <w:rStyle w:val="Hyperlink"/>
            <w:noProof/>
          </w:rPr>
          <w:t>Proposal 2</w:t>
        </w:r>
        <w:r w:rsidR="008D6A74">
          <w:rPr>
            <w:rFonts w:asciiTheme="minorHAnsi" w:eastAsiaTheme="minorEastAsia" w:hAnsiTheme="minorHAnsi" w:cstheme="minorBidi"/>
            <w:b w:val="0"/>
            <w:noProof/>
            <w:sz w:val="22"/>
            <w:szCs w:val="22"/>
          </w:rPr>
          <w:tab/>
        </w:r>
        <w:r w:rsidR="008D6A74" w:rsidRPr="00F259DA">
          <w:rPr>
            <w:rStyle w:val="Hyperlink"/>
            <w:noProof/>
          </w:rPr>
          <w:t>MPE reporting is supported for EN-DC, but UE only reports MPE for the SCG FR2-cells towards the SN (not the MN).</w:t>
        </w:r>
      </w:hyperlink>
    </w:p>
    <w:p w14:paraId="380E5344" w14:textId="77777777" w:rsidR="008D6A74" w:rsidRDefault="00614B0A">
      <w:pPr>
        <w:pStyle w:val="TableofFigures"/>
        <w:tabs>
          <w:tab w:val="right" w:leader="dot" w:pos="9629"/>
        </w:tabs>
        <w:rPr>
          <w:rFonts w:asciiTheme="minorHAnsi" w:eastAsiaTheme="minorEastAsia" w:hAnsiTheme="minorHAnsi" w:cstheme="minorBidi"/>
          <w:b w:val="0"/>
          <w:noProof/>
          <w:sz w:val="22"/>
          <w:szCs w:val="22"/>
        </w:rPr>
      </w:pPr>
      <w:hyperlink w:anchor="_Toc54270341" w:history="1">
        <w:r w:rsidR="008D6A74" w:rsidRPr="00F259DA">
          <w:rPr>
            <w:rStyle w:val="Hyperlink"/>
            <w:noProof/>
          </w:rPr>
          <w:t>Proposal 3</w:t>
        </w:r>
        <w:r w:rsidR="008D6A74">
          <w:rPr>
            <w:rFonts w:asciiTheme="minorHAnsi" w:eastAsiaTheme="minorEastAsia" w:hAnsiTheme="minorHAnsi" w:cstheme="minorBidi"/>
            <w:b w:val="0"/>
            <w:noProof/>
            <w:sz w:val="22"/>
            <w:szCs w:val="22"/>
          </w:rPr>
          <w:tab/>
        </w:r>
        <w:r w:rsidR="008D6A74" w:rsidRPr="00F259DA">
          <w:rPr>
            <w:rStyle w:val="Hyperlink"/>
            <w:noProof/>
          </w:rPr>
          <w:t>RAN2 confirms that MPE reporting for MCG-cells to the SN is not supported in NE-DC.</w:t>
        </w:r>
      </w:hyperlink>
    </w:p>
    <w:p w14:paraId="189D2615" w14:textId="77777777" w:rsidR="008D6A74" w:rsidRDefault="00614B0A">
      <w:pPr>
        <w:pStyle w:val="TableofFigures"/>
        <w:tabs>
          <w:tab w:val="right" w:leader="dot" w:pos="9629"/>
        </w:tabs>
        <w:rPr>
          <w:rFonts w:asciiTheme="minorHAnsi" w:eastAsiaTheme="minorEastAsia" w:hAnsiTheme="minorHAnsi" w:cstheme="minorBidi"/>
          <w:b w:val="0"/>
          <w:noProof/>
          <w:sz w:val="22"/>
          <w:szCs w:val="22"/>
        </w:rPr>
      </w:pPr>
      <w:hyperlink w:anchor="_Toc54270342" w:history="1">
        <w:r w:rsidR="008D6A74" w:rsidRPr="00F259DA">
          <w:rPr>
            <w:rStyle w:val="Hyperlink"/>
            <w:noProof/>
          </w:rPr>
          <w:t>Proposal 4</w:t>
        </w:r>
        <w:r w:rsidR="008D6A74">
          <w:rPr>
            <w:rFonts w:asciiTheme="minorHAnsi" w:eastAsiaTheme="minorEastAsia" w:hAnsiTheme="minorHAnsi" w:cstheme="minorBidi"/>
            <w:b w:val="0"/>
            <w:noProof/>
            <w:sz w:val="22"/>
            <w:szCs w:val="22"/>
          </w:rPr>
          <w:tab/>
        </w:r>
        <w:r w:rsidR="008D6A74" w:rsidRPr="00F259DA">
          <w:rPr>
            <w:rStyle w:val="Hyperlink"/>
            <w:noProof/>
          </w:rPr>
          <w:t>MPE reporting to is supported for NE-DC, but UE only reports MPE for the MN FR2-cells towards the MN (not the SN).</w:t>
        </w:r>
      </w:hyperlink>
    </w:p>
    <w:p w14:paraId="5FCAA6F4" w14:textId="77777777" w:rsidR="008D6A74" w:rsidRDefault="00614B0A">
      <w:pPr>
        <w:pStyle w:val="TableofFigures"/>
        <w:tabs>
          <w:tab w:val="right" w:leader="dot" w:pos="9629"/>
        </w:tabs>
        <w:rPr>
          <w:rFonts w:asciiTheme="minorHAnsi" w:eastAsiaTheme="minorEastAsia" w:hAnsiTheme="minorHAnsi" w:cstheme="minorBidi"/>
          <w:b w:val="0"/>
          <w:noProof/>
          <w:sz w:val="22"/>
          <w:szCs w:val="22"/>
        </w:rPr>
      </w:pPr>
      <w:hyperlink w:anchor="_Toc54270343" w:history="1">
        <w:r w:rsidR="008D6A74" w:rsidRPr="00F259DA">
          <w:rPr>
            <w:rStyle w:val="Hyperlink"/>
            <w:noProof/>
          </w:rPr>
          <w:t>Proposal 5</w:t>
        </w:r>
        <w:r w:rsidR="008D6A74">
          <w:rPr>
            <w:rFonts w:asciiTheme="minorHAnsi" w:eastAsiaTheme="minorEastAsia" w:hAnsiTheme="minorHAnsi" w:cstheme="minorBidi"/>
            <w:b w:val="0"/>
            <w:noProof/>
            <w:sz w:val="22"/>
            <w:szCs w:val="22"/>
          </w:rPr>
          <w:tab/>
        </w:r>
        <w:r w:rsidR="008D6A74" w:rsidRPr="00F259DA">
          <w:rPr>
            <w:rStyle w:val="Hyperlink"/>
            <w:noProof/>
          </w:rPr>
          <w:t>In NR-DC, if MPE is configured for a MAC entity, that MAC entity shall report MPE for all serving cells (also the cells of the other MAC entity).</w:t>
        </w:r>
      </w:hyperlink>
    </w:p>
    <w:p w14:paraId="7C73C8BC" w14:textId="77777777" w:rsidR="008D6A74" w:rsidRDefault="00614B0A">
      <w:pPr>
        <w:pStyle w:val="TableofFigures"/>
        <w:tabs>
          <w:tab w:val="right" w:leader="dot" w:pos="9629"/>
        </w:tabs>
        <w:rPr>
          <w:rFonts w:asciiTheme="minorHAnsi" w:eastAsiaTheme="minorEastAsia" w:hAnsiTheme="minorHAnsi" w:cstheme="minorBidi"/>
          <w:b w:val="0"/>
          <w:noProof/>
          <w:sz w:val="22"/>
          <w:szCs w:val="22"/>
        </w:rPr>
      </w:pPr>
      <w:hyperlink w:anchor="_Toc54270344" w:history="1">
        <w:r w:rsidR="008D6A74" w:rsidRPr="00F259DA">
          <w:rPr>
            <w:rStyle w:val="Hyperlink"/>
            <w:noProof/>
          </w:rPr>
          <w:t>Proposal 6</w:t>
        </w:r>
        <w:r w:rsidR="008D6A74">
          <w:rPr>
            <w:rFonts w:asciiTheme="minorHAnsi" w:eastAsiaTheme="minorEastAsia" w:hAnsiTheme="minorHAnsi" w:cstheme="minorBidi"/>
            <w:b w:val="0"/>
            <w:noProof/>
            <w:sz w:val="22"/>
            <w:szCs w:val="22"/>
          </w:rPr>
          <w:tab/>
        </w:r>
        <w:r w:rsidR="008D6A74" w:rsidRPr="00F259DA">
          <w:rPr>
            <w:rStyle w:val="Hyperlink"/>
            <w:noProof/>
          </w:rPr>
          <w:t>In DAPS, if MPE is configured for a MAC entity, that MAC entity shall report MPE for all serving cells (also the cell of the other MAC entity).</w:t>
        </w:r>
      </w:hyperlink>
    </w:p>
    <w:p w14:paraId="00E8DC4C" w14:textId="77777777" w:rsidR="008D6A74" w:rsidRDefault="00614B0A">
      <w:pPr>
        <w:pStyle w:val="TableofFigures"/>
        <w:tabs>
          <w:tab w:val="right" w:leader="dot" w:pos="9629"/>
        </w:tabs>
        <w:rPr>
          <w:rFonts w:asciiTheme="minorHAnsi" w:eastAsiaTheme="minorEastAsia" w:hAnsiTheme="minorHAnsi" w:cstheme="minorBidi"/>
          <w:b w:val="0"/>
          <w:noProof/>
          <w:sz w:val="22"/>
          <w:szCs w:val="22"/>
        </w:rPr>
      </w:pPr>
      <w:hyperlink w:anchor="_Toc54270345" w:history="1">
        <w:r w:rsidR="008D6A74" w:rsidRPr="00F259DA">
          <w:rPr>
            <w:rStyle w:val="Hyperlink"/>
            <w:noProof/>
          </w:rPr>
          <w:t>Proposal 7</w:t>
        </w:r>
        <w:r w:rsidR="008D6A74">
          <w:rPr>
            <w:rFonts w:asciiTheme="minorHAnsi" w:eastAsiaTheme="minorEastAsia" w:hAnsiTheme="minorHAnsi" w:cstheme="minorBidi"/>
            <w:b w:val="0"/>
            <w:noProof/>
            <w:sz w:val="22"/>
            <w:szCs w:val="22"/>
          </w:rPr>
          <w:tab/>
        </w:r>
        <w:r w:rsidR="008D6A74" w:rsidRPr="00F259DA">
          <w:rPr>
            <w:rStyle w:val="Hyperlink"/>
            <w:noProof/>
          </w:rPr>
          <w:t>Adopt the text proposal.</w:t>
        </w:r>
      </w:hyperlink>
    </w:p>
    <w:p w14:paraId="318F2C84" w14:textId="0057F6CD" w:rsidR="002E17B2" w:rsidRDefault="006E1C82" w:rsidP="008D6A74">
      <w:pPr>
        <w:pStyle w:val="BodyText"/>
      </w:pPr>
      <w:r>
        <w:rPr>
          <w:b/>
          <w:bCs/>
          <w:lang w:val="en-US"/>
        </w:rPr>
        <w:fldChar w:fldCharType="end"/>
      </w:r>
    </w:p>
    <w:p w14:paraId="3A537A26" w14:textId="77777777" w:rsidR="002E17B2" w:rsidRPr="002E17B2" w:rsidRDefault="002E17B2" w:rsidP="002E17B2"/>
    <w:sectPr w:rsidR="002E17B2" w:rsidRPr="002E17B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29A55" w14:textId="77777777" w:rsidR="00095D63" w:rsidRDefault="00095D63">
      <w:r>
        <w:separator/>
      </w:r>
    </w:p>
  </w:endnote>
  <w:endnote w:type="continuationSeparator" w:id="0">
    <w:p w14:paraId="5296BE08" w14:textId="77777777" w:rsidR="00095D63" w:rsidRDefault="0009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5C2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97D3" w14:textId="77777777" w:rsidR="00095D63" w:rsidRDefault="00095D63">
      <w:r>
        <w:separator/>
      </w:r>
    </w:p>
  </w:footnote>
  <w:footnote w:type="continuationSeparator" w:id="0">
    <w:p w14:paraId="2BFBA7B2" w14:textId="77777777" w:rsidR="00095D63" w:rsidRDefault="00095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BC2A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B5183"/>
    <w:multiLevelType w:val="hybridMultilevel"/>
    <w:tmpl w:val="6D0034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615F2C"/>
    <w:multiLevelType w:val="hybridMultilevel"/>
    <w:tmpl w:val="114A8C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3"/>
  </w:num>
  <w:num w:numId="21">
    <w:abstractNumId w:val="12"/>
  </w:num>
  <w:num w:numId="22">
    <w:abstractNumId w:val="22"/>
  </w:num>
  <w:num w:numId="23">
    <w:abstractNumId w:val="5"/>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D6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D63"/>
    <w:rsid w:val="000A1B7B"/>
    <w:rsid w:val="000A56F2"/>
    <w:rsid w:val="000B2719"/>
    <w:rsid w:val="000B3A8F"/>
    <w:rsid w:val="000B4AB9"/>
    <w:rsid w:val="000B58C3"/>
    <w:rsid w:val="000B61E9"/>
    <w:rsid w:val="000C165A"/>
    <w:rsid w:val="000C2E19"/>
    <w:rsid w:val="000D0D07"/>
    <w:rsid w:val="000D4797"/>
    <w:rsid w:val="000D6F59"/>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6F83"/>
    <w:rsid w:val="001B0D97"/>
    <w:rsid w:val="001B5A5D"/>
    <w:rsid w:val="001C1CE5"/>
    <w:rsid w:val="001C3D2A"/>
    <w:rsid w:val="001D458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3A"/>
    <w:rsid w:val="00235632"/>
    <w:rsid w:val="00235872"/>
    <w:rsid w:val="00235980"/>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B2"/>
    <w:rsid w:val="002E17F2"/>
    <w:rsid w:val="002E7CAE"/>
    <w:rsid w:val="002F2771"/>
    <w:rsid w:val="002F37A9"/>
    <w:rsid w:val="002F4101"/>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5D1"/>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B8"/>
    <w:rsid w:val="00444F56"/>
    <w:rsid w:val="00446488"/>
    <w:rsid w:val="004517AA"/>
    <w:rsid w:val="00452CAC"/>
    <w:rsid w:val="00457565"/>
    <w:rsid w:val="00457B71"/>
    <w:rsid w:val="004669E2"/>
    <w:rsid w:val="00470C31"/>
    <w:rsid w:val="00471DE0"/>
    <w:rsid w:val="004734D0"/>
    <w:rsid w:val="0047556B"/>
    <w:rsid w:val="00477768"/>
    <w:rsid w:val="0049009C"/>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CE6"/>
    <w:rsid w:val="005219CF"/>
    <w:rsid w:val="00534B59"/>
    <w:rsid w:val="00536759"/>
    <w:rsid w:val="00537C62"/>
    <w:rsid w:val="00546970"/>
    <w:rsid w:val="005471B2"/>
    <w:rsid w:val="00554E19"/>
    <w:rsid w:val="0056121F"/>
    <w:rsid w:val="00572505"/>
    <w:rsid w:val="00572FF3"/>
    <w:rsid w:val="00582809"/>
    <w:rsid w:val="005842C9"/>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B0A"/>
    <w:rsid w:val="00620A71"/>
    <w:rsid w:val="00620D80"/>
    <w:rsid w:val="006234A6"/>
    <w:rsid w:val="00630001"/>
    <w:rsid w:val="006311B3"/>
    <w:rsid w:val="0063284C"/>
    <w:rsid w:val="00635AE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D3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95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8F4"/>
    <w:rsid w:val="006E0966"/>
    <w:rsid w:val="006E1C82"/>
    <w:rsid w:val="006E28B7"/>
    <w:rsid w:val="006E2A9B"/>
    <w:rsid w:val="006E3310"/>
    <w:rsid w:val="006E4E39"/>
    <w:rsid w:val="006E565E"/>
    <w:rsid w:val="006E673D"/>
    <w:rsid w:val="006E7D3B"/>
    <w:rsid w:val="006F1B70"/>
    <w:rsid w:val="006F341D"/>
    <w:rsid w:val="006F3CDE"/>
    <w:rsid w:val="006F58D4"/>
    <w:rsid w:val="006F6582"/>
    <w:rsid w:val="006F71B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BA1"/>
    <w:rsid w:val="00811FCB"/>
    <w:rsid w:val="008158D6"/>
    <w:rsid w:val="00817196"/>
    <w:rsid w:val="008235DB"/>
    <w:rsid w:val="00824AB4"/>
    <w:rsid w:val="00825C42"/>
    <w:rsid w:val="00825D25"/>
    <w:rsid w:val="00827D6F"/>
    <w:rsid w:val="008376AC"/>
    <w:rsid w:val="008444E8"/>
    <w:rsid w:val="00844E80"/>
    <w:rsid w:val="00846FE7"/>
    <w:rsid w:val="0085072B"/>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04B"/>
    <w:rsid w:val="008C7573"/>
    <w:rsid w:val="008D00A5"/>
    <w:rsid w:val="008D34F1"/>
    <w:rsid w:val="008D39D8"/>
    <w:rsid w:val="008D6A7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ED0"/>
    <w:rsid w:val="009A3BB6"/>
    <w:rsid w:val="009A462D"/>
    <w:rsid w:val="009A5CBA"/>
    <w:rsid w:val="009B18FF"/>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DB8"/>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64C83"/>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F80"/>
    <w:rsid w:val="00D3542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169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4F6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AAF"/>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730"/>
    <w:rsid w:val="00FA2BB3"/>
    <w:rsid w:val="00FB2252"/>
    <w:rsid w:val="00FB4C80"/>
    <w:rsid w:val="00FB6A6A"/>
    <w:rsid w:val="00FC7429"/>
    <w:rsid w:val="00FD07F6"/>
    <w:rsid w:val="00FD1EC8"/>
    <w:rsid w:val="00FD47ED"/>
    <w:rsid w:val="00FD74DB"/>
    <w:rsid w:val="00FD7660"/>
    <w:rsid w:val="00FE0655"/>
    <w:rsid w:val="00FE2365"/>
    <w:rsid w:val="00FE37D7"/>
    <w:rsid w:val="00FE4C7B"/>
    <w:rsid w:val="00FE6A75"/>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1B464"/>
  <w15:chartTrackingRefBased/>
  <w15:docId w15:val="{17E2F6EB-B6D7-4766-8527-69F961D85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432B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44D173F-D3D4-4E80-8718-1AEF5546C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D6AF5B-62F0-411E-87AA-DDE07F93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157</TotalTime>
  <Pages>3</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Author</dc:creator>
  <cp:keywords>3GPP; Ericsson; TDoc</cp:keywords>
  <dc:description/>
  <cp:lastModifiedBy>Ericsson</cp:lastModifiedBy>
  <cp:revision>28</cp:revision>
  <cp:lastPrinted>2008-01-31T07:09:00Z</cp:lastPrinted>
  <dcterms:created xsi:type="dcterms:W3CDTF">2020-10-02T15:42:00Z</dcterms:created>
  <dcterms:modified xsi:type="dcterms:W3CDTF">2020-10-23T04:24:00Z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